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March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03/14/2024</w:t>
      </w:r>
      <w:r>
        <w:rPr/>
        <w:t xml:space="preserve">| </w:t>
      </w:r>
      <w:r>
        <w:rPr/>
        <w:t>06:36pm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Percy Maple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Percy Maple</w:t>
        <w:tab/>
        <w:t xml:space="preserve">   Gabe Donar</w:t>
        <w:tab/>
        <w:t xml:space="preserve">       Kristy Mock</w:t>
        <w:tab/>
      </w:r>
      <w:r>
        <w:rPr/>
        <w:t>Chastity Donar</w:t>
      </w:r>
      <w:r>
        <w:rPr/>
        <w:t xml:space="preserve">     Dylan Turns</w:t>
        <w:tab/>
        <w:t>Nicolet</w:t>
      </w:r>
      <w:r>
        <w:rPr/>
        <w:t>t</w:t>
      </w:r>
      <w:r>
        <w:rPr/>
        <w:t>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February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Gabe Donar</w:t>
      </w:r>
      <w:r>
        <w:rPr/>
        <w:tab/>
        <w:t xml:space="preserve">Second: </w:t>
      </w:r>
      <w:r>
        <w:rPr/>
        <w:t>Dylan Turns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5,939.19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$6,006.88</w:t>
      </w:r>
    </w:p>
    <w:p>
      <w:pPr>
        <w:pStyle w:val="Normal"/>
        <w:rPr/>
      </w:pPr>
      <w:r>
        <w:rPr/>
        <w:tab/>
        <w:tab/>
      </w:r>
      <w:r>
        <w:rPr/>
        <w:t>Payments: $67.83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/>
        <w:tab/>
        <w:tab/>
      </w:r>
      <w:r>
        <w:rPr/>
        <w:t>Outstanding balance: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Dylan Turns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Percy Maple</w:t>
      </w:r>
    </w:p>
    <w:p>
      <w:pPr>
        <w:pStyle w:val="Normal"/>
        <w:rPr/>
      </w:pPr>
      <w:r>
        <w:rPr/>
        <w:tab/>
      </w:r>
      <w:r>
        <w:rPr/>
        <w:t>4 conferences, 8 teams – 1 has 9 teams</w:t>
      </w:r>
    </w:p>
    <w:p>
      <w:pPr>
        <w:pStyle w:val="Normal"/>
        <w:rPr/>
      </w:pPr>
      <w:r>
        <w:rPr/>
        <w:tab/>
      </w:r>
      <w:r>
        <w:rPr/>
        <w:t>Proposed changes to League Bylaws – pertaining to us</w:t>
      </w:r>
    </w:p>
    <w:p>
      <w:pPr>
        <w:pStyle w:val="Normal"/>
        <w:rPr/>
      </w:pPr>
      <w:r>
        <w:rPr/>
        <w:tab/>
        <w:tab/>
      </w:r>
      <w:r>
        <w:rPr/>
        <w:t>Playoffs – top 4 teams, Jamboree for 4 who don’t make playoffs</w:t>
      </w:r>
    </w:p>
    <w:p>
      <w:pPr>
        <w:pStyle w:val="Normal"/>
        <w:rPr/>
      </w:pPr>
      <w:r>
        <w:rPr/>
        <w:tab/>
        <w:tab/>
      </w:r>
      <w:r>
        <w:rPr/>
        <w:t>Superbowl gate change – raise league dues to 1k or raise fines to $500</w:t>
      </w:r>
    </w:p>
    <w:p>
      <w:pPr>
        <w:pStyle w:val="Normal"/>
        <w:rPr/>
      </w:pPr>
      <w:r>
        <w:rPr/>
        <w:tab/>
        <w:tab/>
      </w:r>
      <w:r>
        <w:rPr/>
        <w:t>Realign conferences every 2 years</w:t>
      </w:r>
    </w:p>
    <w:p>
      <w:pPr>
        <w:pStyle w:val="Normal"/>
        <w:rPr/>
      </w:pPr>
      <w:r>
        <w:rPr/>
        <w:tab/>
        <w:tab/>
      </w:r>
      <w:r>
        <w:rPr/>
        <w:t>Peewee extra points – 1pt for 3yrds, 2pts for 5yrds, kick from 5yrds = no rushing</w:t>
      </w:r>
    </w:p>
    <w:p>
      <w:pPr>
        <w:pStyle w:val="Normal"/>
        <w:rPr/>
      </w:pPr>
      <w:r>
        <w:rPr/>
        <w:tab/>
        <w:tab/>
      </w:r>
      <w:r>
        <w:rPr/>
        <w:t>Pony – no rushing</w:t>
      </w:r>
    </w:p>
    <w:p>
      <w:pPr>
        <w:pStyle w:val="Normal"/>
        <w:rPr/>
      </w:pPr>
      <w:r>
        <w:rPr/>
        <w:tab/>
        <w:tab/>
      </w:r>
      <w:r>
        <w:rPr/>
        <w:t>Saturdays Midgets play last</w:t>
      </w:r>
    </w:p>
    <w:p>
      <w:pPr>
        <w:pStyle w:val="Normal"/>
        <w:rPr/>
      </w:pPr>
      <w:r>
        <w:rPr/>
        <w:tab/>
        <w:tab/>
      </w:r>
      <w:r>
        <w:rPr/>
        <w:t>Ages 5-13 years, 14 &amp; in 8</w:t>
      </w:r>
      <w:r>
        <w:rPr>
          <w:vertAlign w:val="superscript"/>
        </w:rPr>
        <w:t>th</w:t>
      </w:r>
      <w:r>
        <w:rPr/>
        <w:t xml:space="preserve"> grade to be stripers</w:t>
      </w:r>
    </w:p>
    <w:p>
      <w:pPr>
        <w:pStyle w:val="Normal"/>
        <w:rPr/>
      </w:pPr>
      <w:r>
        <w:rPr/>
        <w:tab/>
        <w:tab/>
      </w:r>
      <w:r>
        <w:rPr/>
        <w:t>Waiver limit – set number vs %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tab/>
        <w:tab/>
      </w:r>
      <w:r>
        <w:rPr/>
        <w:t>Weight limit - +10lbs ever level - stripers to be TE and DE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Purchased biometrics lock</w:t>
      </w:r>
    </w:p>
    <w:p>
      <w:pPr>
        <w:pStyle w:val="Normal"/>
        <w:rPr/>
      </w:pPr>
      <w:r>
        <w:rPr/>
        <w:t>Helmets ordered</w:t>
      </w:r>
    </w:p>
    <w:p>
      <w:pPr>
        <w:pStyle w:val="Normal"/>
        <w:rPr/>
      </w:pPr>
      <w:r>
        <w:rPr/>
        <w:tab/>
        <w:t>Credit with seller – paying installments</w:t>
      </w:r>
    </w:p>
    <w:p>
      <w:pPr>
        <w:pStyle w:val="Normal"/>
        <w:rPr/>
      </w:pPr>
      <w:r>
        <w:rPr/>
        <w:tab/>
        <w:t>No price yet for reconditioned helmets</w:t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Coaching has been opened</w:t>
      </w:r>
    </w:p>
    <w:p>
      <w:pPr>
        <w:pStyle w:val="Normal"/>
        <w:rPr/>
      </w:pPr>
      <w:r>
        <w:rPr/>
        <w:t>Open season registration this weekend, 3/15</w:t>
      </w:r>
    </w:p>
    <w:p>
      <w:pPr>
        <w:pStyle w:val="Normal"/>
        <w:rPr/>
      </w:pPr>
      <w:r>
        <w:rPr/>
        <w:tab/>
        <w:t>Fundraising, volunteering, donations deducted from buyout</w:t>
      </w:r>
    </w:p>
    <w:p>
      <w:pPr>
        <w:pStyle w:val="Normal"/>
        <w:rPr/>
      </w:pPr>
      <w:r>
        <w:rPr/>
        <w:tab/>
        <w:t>Including payments to website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Sponsorship papers sent out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Request field usage from MAHS</w:t>
      </w:r>
    </w:p>
    <w:p>
      <w:pPr>
        <w:pStyle w:val="Normal"/>
        <w:rPr/>
      </w:pPr>
      <w:r>
        <w:rPr/>
        <w:t>Fundraising opportunities</w:t>
      </w:r>
    </w:p>
    <w:p>
      <w:pPr>
        <w:pStyle w:val="Normal"/>
        <w:rPr/>
      </w:pPr>
      <w:r>
        <w:rPr/>
        <w:t>MYC help – donations, mailers, Texas Hold’em Night – split proceeds if we help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04</w:t>
      </w:r>
      <w:r>
        <w:rPr/>
        <w:t>/</w:t>
      </w:r>
      <w:r>
        <w:rPr/>
        <w:t>11</w:t>
      </w:r>
      <w:r>
        <w:rPr/>
        <w:t>/202</w:t>
      </w:r>
      <w:r>
        <w:rPr/>
        <w:t>4</w:t>
      </w:r>
      <w:r>
        <w:rPr/>
        <w:t xml:space="preserve"> at </w:t>
      </w:r>
      <w:r>
        <w:rPr/>
        <w:t>6</w:t>
      </w:r>
      <w:r>
        <w:rPr/>
        <w:t>:</w:t>
      </w:r>
      <w:r>
        <w:rPr/>
        <w:t>30</w:t>
      </w:r>
      <w:r>
        <w:rPr/>
        <w:t>pm at The Blue Room</w:t>
      </w:r>
    </w:p>
    <w:p>
      <w:pPr>
        <w:pStyle w:val="Normal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</w:t>
      </w:r>
      <w:r>
        <w:rPr>
          <w:u w:val="single"/>
        </w:rPr>
        <w:t>:</w:t>
      </w:r>
      <w:r>
        <w:rPr>
          <w:u w:val="single"/>
        </w:rPr>
        <w:t>20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Percy Maple</w:t>
      </w:r>
      <w:r>
        <w:rPr/>
        <w:tab/>
        <w:t xml:space="preserve">Second: </w:t>
      </w:r>
      <w:r>
        <w:rPr/>
        <w:t>Nicolette Hess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100" w:after="100"/>
        <w:rPr>
          <w:i/>
          <w:i/>
          <w:iCs/>
        </w:rPr>
      </w:pPr>
      <w:r>
        <w:rPr>
          <w:i/>
          <w:iCs/>
        </w:rPr>
        <w:t>Meeting moved to 04/18/2024 at 6:30pm at The Blue Room</w:t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285</TotalTime>
  <Application>Neat_Office/6.2.8.2$Windows_x86 LibreOffice_project/</Application>
  <Pages>2</Pages>
  <Words>281</Words>
  <CharactersWithSpaces>1831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2024-04-18T13:35:09Z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